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第一部分 职业学校学生综合素质与发展能力测评云平台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职业学校</w:t>
      </w:r>
      <w:r>
        <w:rPr>
          <w:rFonts w:hint="eastAsia" w:ascii="黑体" w:hAnsi="宋体" w:eastAsia="黑体"/>
          <w:b/>
          <w:sz w:val="24"/>
        </w:rPr>
        <w:t>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第二部分 职业学校学生就业能力测评云平台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 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第四部分 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hAnsi="宋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4、更改甲方购买系统的机构标识LOG</w:t>
      </w:r>
      <w:r>
        <w:rPr>
          <w:rFonts w:hint="eastAsia"/>
          <w:sz w:val="24"/>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元整 （￥    0,000.00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   元整（￥       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6"/>
        <w:gridCol w:w="3"/>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eastAsia="宋体" w:cs="宋体"/>
                <w:b/>
                <w:sz w:val="28"/>
                <w:szCs w:val="28"/>
              </w:rPr>
              <w:t>城通</w:t>
            </w:r>
            <w:r>
              <w:rPr>
                <w:rFonts w:hint="eastAsia" w:ascii="宋体" w:hAnsi="宋体" w:eastAsia="宋体" w:cs="宋体"/>
                <w:b/>
                <w:sz w:val="28"/>
                <w:szCs w:val="28"/>
                <w:lang w:eastAsia="zh-CN"/>
              </w:rPr>
              <w:t>职业学校学生</w:t>
            </w:r>
            <w:r>
              <w:rPr>
                <w:rFonts w:hint="eastAsia" w:ascii="宋体" w:hAnsi="宋体" w:eastAsia="宋体" w:cs="宋体"/>
                <w:b/>
                <w:sz w:val="28"/>
                <w:szCs w:val="28"/>
              </w:rPr>
              <w:t>测评云平台</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在校素质能力+就业测评）</w:t>
            </w:r>
            <w:r>
              <w:rPr>
                <w:rFonts w:hint="eastAsia" w:ascii="宋体" w:hAnsi="宋体" w:cs="宋体"/>
                <w:b/>
                <w:sz w:val="28"/>
                <w:szCs w:val="28"/>
              </w:rPr>
              <w:t xml:space="preserve">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第一部分 职业学校学生综合素质与发展能力测评云平台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第二部分 职业学校学生就业能力测评云平台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一、职业学校学生职业生涯发展规划测评系统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二、职业学校学生就业能力测评系统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三、职业学校学生行业岗位就业能力测评平台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四、职业学校学生行业岗位就业能力实训平台</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第三部分 测评管理</w:t>
            </w:r>
          </w:p>
          <w:p>
            <w:pPr>
              <w:widowControl/>
              <w:jc w:val="left"/>
              <w:rPr>
                <w:rFonts w:ascii="黑体" w:hAnsi="黑体" w:eastAsia="黑体" w:cs="宋体"/>
                <w:color w:val="002060"/>
                <w:kern w:val="0"/>
                <w:sz w:val="24"/>
                <w:szCs w:val="22"/>
              </w:rPr>
            </w:pPr>
            <w:r>
              <w:rPr>
                <w:rFonts w:hint="eastAsia" w:ascii="黑体" w:hAnsi="黑体" w:eastAsia="黑体" w:cs="宋体"/>
                <w:color w:val="002060"/>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宋体"/>
                <w:color w:val="002060"/>
                <w:kern w:val="0"/>
                <w:sz w:val="24"/>
                <w:szCs w:val="22"/>
              </w:rPr>
            </w:pPr>
            <w:r>
              <w:rPr>
                <w:rFonts w:hint="eastAsia" w:ascii="宋体" w:hAnsi="宋体" w:eastAsia="宋体" w:cs="宋体"/>
                <w:b/>
                <w:bCs/>
                <w:color w:val="auto"/>
                <w:kern w:val="0"/>
                <w:sz w:val="28"/>
                <w:szCs w:val="28"/>
                <w:lang w:val="en-US" w:eastAsia="zh-CN"/>
              </w:rPr>
              <w:t>第一部分 职业学校学生综合素质与发展能力测评云平台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b/>
                <w:bCs/>
                <w:kern w:val="0"/>
                <w:sz w:val="24"/>
                <w:szCs w:val="22"/>
              </w:rPr>
            </w:pPr>
            <w:r>
              <w:rPr>
                <w:rFonts w:hint="eastAsia" w:ascii="宋体" w:hAnsi="宋体"/>
                <w:b/>
                <w:bCs/>
                <w:kern w:val="0"/>
                <w:sz w:val="24"/>
                <w:szCs w:val="22"/>
              </w:rPr>
              <w:t>（一）</w:t>
            </w:r>
            <w:r>
              <w:rPr>
                <w:rFonts w:hint="eastAsia" w:ascii="宋体" w:hAnsi="宋体"/>
                <w:b/>
                <w:bCs/>
                <w:kern w:val="0"/>
                <w:sz w:val="24"/>
                <w:szCs w:val="22"/>
                <w:lang w:eastAsia="zh-CN"/>
              </w:rPr>
              <w:t>职业学校学生</w:t>
            </w:r>
            <w:r>
              <w:rPr>
                <w:rFonts w:hint="eastAsia" w:ascii="宋体" w:hAnsi="宋体"/>
                <w:b/>
                <w:bCs/>
                <w:kern w:val="0"/>
                <w:sz w:val="24"/>
                <w:szCs w:val="22"/>
              </w:rPr>
              <w:t>素质与发展能力综合测评子系统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1</w:t>
            </w:r>
            <w:r>
              <w:rPr>
                <w:rFonts w:hint="eastAsia" w:ascii="Calibri" w:hAnsi="Calibri"/>
                <w:bCs/>
                <w:kern w:val="0"/>
                <w:sz w:val="24"/>
                <w:szCs w:val="22"/>
              </w:rPr>
              <w:t>、</w:t>
            </w:r>
            <w:r>
              <w:rPr>
                <w:rFonts w:hint="eastAsia" w:ascii="Calibri" w:hAnsi="Calibri"/>
                <w:bCs/>
                <w:kern w:val="0"/>
                <w:sz w:val="24"/>
                <w:szCs w:val="22"/>
                <w:lang w:val="en-US" w:eastAsia="zh-CN"/>
              </w:rPr>
              <w:t>一年级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2</w:t>
            </w:r>
            <w:r>
              <w:rPr>
                <w:rFonts w:hint="eastAsia" w:ascii="Calibri" w:hAnsi="Calibri"/>
                <w:bCs/>
                <w:kern w:val="0"/>
                <w:sz w:val="24"/>
                <w:szCs w:val="22"/>
              </w:rPr>
              <w:t>、</w:t>
            </w:r>
            <w:r>
              <w:rPr>
                <w:rFonts w:hint="eastAsia" w:ascii="Calibri" w:hAnsi="Calibri"/>
                <w:bCs/>
                <w:kern w:val="0"/>
                <w:sz w:val="24"/>
                <w:szCs w:val="22"/>
                <w:lang w:val="en-US" w:eastAsia="zh-CN"/>
              </w:rPr>
              <w:t>二年级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3</w:t>
            </w:r>
            <w:r>
              <w:rPr>
                <w:rFonts w:hint="eastAsia" w:ascii="Calibri" w:hAnsi="Calibri"/>
                <w:bCs/>
                <w:kern w:val="0"/>
                <w:sz w:val="24"/>
                <w:szCs w:val="22"/>
              </w:rPr>
              <w:t>、</w:t>
            </w:r>
            <w:r>
              <w:rPr>
                <w:rFonts w:hint="eastAsia" w:ascii="Calibri" w:hAnsi="Calibri"/>
                <w:bCs/>
                <w:kern w:val="0"/>
                <w:sz w:val="24"/>
                <w:szCs w:val="22"/>
                <w:lang w:val="en-US" w:eastAsia="zh-CN"/>
              </w:rPr>
              <w:t>三年级</w:t>
            </w:r>
            <w:r>
              <w:rPr>
                <w:rFonts w:hint="eastAsia" w:ascii="Calibri" w:hAnsi="Calibri"/>
                <w:bCs/>
                <w:kern w:val="0"/>
                <w:sz w:val="24"/>
                <w:szCs w:val="22"/>
              </w:rPr>
              <w:t>学生素质能力综合测评</w:t>
            </w:r>
          </w:p>
          <w:p>
            <w:pPr>
              <w:widowControl/>
              <w:jc w:val="left"/>
              <w:rPr>
                <w:rFonts w:ascii="宋体" w:hAnsi="宋体"/>
                <w:b/>
                <w:bCs/>
                <w:kern w:val="0"/>
                <w:sz w:val="24"/>
                <w:szCs w:val="22"/>
              </w:rPr>
            </w:pPr>
            <w:r>
              <w:rPr>
                <w:rFonts w:hint="eastAsia" w:ascii="宋体" w:hAnsi="宋体"/>
                <w:b/>
                <w:bCs/>
                <w:kern w:val="0"/>
                <w:sz w:val="24"/>
                <w:szCs w:val="22"/>
              </w:rPr>
              <w:t>（二）</w:t>
            </w:r>
            <w:r>
              <w:rPr>
                <w:rFonts w:hint="eastAsia" w:ascii="Calibri" w:hAnsi="Calibri"/>
                <w:b/>
                <w:kern w:val="0"/>
                <w:sz w:val="24"/>
                <w:szCs w:val="22"/>
                <w:lang w:eastAsia="zh-CN"/>
              </w:rPr>
              <w:t>职业学校学生</w:t>
            </w:r>
            <w:r>
              <w:rPr>
                <w:rFonts w:hint="eastAsia" w:ascii="Calibri" w:hAnsi="Calibri"/>
                <w:b/>
                <w:kern w:val="0"/>
                <w:sz w:val="24"/>
                <w:szCs w:val="22"/>
              </w:rPr>
              <w:t>综合素质与学习发展能力专项测评</w:t>
            </w:r>
            <w:r>
              <w:rPr>
                <w:rFonts w:hint="eastAsia" w:ascii="宋体" w:hAnsi="宋体"/>
                <w:b/>
                <w:bCs/>
                <w:kern w:val="0"/>
                <w:sz w:val="24"/>
                <w:szCs w:val="22"/>
              </w:rPr>
              <w:t>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1、综合学习能力专项测评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2、学习方法测评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3、学习动机专项测评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4、自学方法能力测评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5、学习习惯类型测评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6、综合素质专项测评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7、自我控制能力测评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8、自我发展能力测评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9、人际交往能力专项测评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10、沟通合作能力专项测评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11、文化素养专项测评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12、创新素养专项测评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13、人际社会适应能力专项测评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14、学生外部交流测试量表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15、坚韧执着与执行能力专项测评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16、逻辑推理判断能力专项测评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17、人际冲突解决能力测量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18、审美与修养专项测评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19、文明礼仪测试</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20、意志品质测试量表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21、学习注意力测评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22、表达能力测量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23、空间判断力量表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24、职业生涯发展能力专项测评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25、美学与欣赏测评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26、学生认同规范测试量表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27、艺术常识测评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28、学生写作能力测量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29、形体常识测试</w:t>
            </w:r>
          </w:p>
          <w:p>
            <w:pPr>
              <w:widowControl/>
              <w:ind w:firstLine="444" w:firstLineChars="200"/>
              <w:jc w:val="left"/>
              <w:rPr>
                <w:rFonts w:hint="eastAsia" w:ascii="Calibri" w:hAnsi="Calibri"/>
                <w:bCs/>
                <w:kern w:val="0"/>
                <w:sz w:val="24"/>
                <w:szCs w:val="22"/>
              </w:rPr>
            </w:pPr>
            <w:r>
              <w:rPr>
                <w:rFonts w:hint="eastAsia" w:ascii="Calibri" w:hAnsi="Calibri"/>
                <w:bCs/>
                <w:kern w:val="0"/>
                <w:sz w:val="24"/>
                <w:szCs w:val="22"/>
              </w:rPr>
              <w:t>30、社会学知识测试。</w:t>
            </w:r>
          </w:p>
          <w:p>
            <w:pPr>
              <w:widowControl/>
              <w:jc w:val="left"/>
              <w:rPr>
                <w:rFonts w:ascii="宋体" w:hAnsi="宋体" w:cs="宋体"/>
                <w:kern w:val="0"/>
                <w:szCs w:val="22"/>
              </w:rPr>
            </w:pPr>
            <w:r>
              <w:rPr>
                <w:rFonts w:hint="eastAsia" w:ascii="宋体" w:hAnsi="宋体"/>
                <w:b/>
                <w:bCs/>
                <w:kern w:val="0"/>
                <w:sz w:val="24"/>
                <w:szCs w:val="22"/>
              </w:rPr>
              <w:t>（</w:t>
            </w:r>
            <w:r>
              <w:rPr>
                <w:rFonts w:hint="eastAsia" w:ascii="宋体" w:hAnsi="宋体"/>
                <w:b/>
                <w:bCs/>
                <w:kern w:val="0"/>
                <w:sz w:val="24"/>
                <w:szCs w:val="22"/>
                <w:lang w:val="en-US" w:eastAsia="zh-CN"/>
              </w:rPr>
              <w:t>三</w:t>
            </w:r>
            <w:r>
              <w:rPr>
                <w:rFonts w:hint="eastAsia" w:ascii="宋体" w:hAnsi="宋体"/>
                <w:b/>
                <w:bCs/>
                <w:kern w:val="0"/>
                <w:sz w:val="24"/>
                <w:szCs w:val="22"/>
              </w:rPr>
              <w:t>）</w:t>
            </w:r>
            <w:r>
              <w:rPr>
                <w:rFonts w:hint="eastAsia" w:ascii="宋体" w:hAnsi="宋体"/>
                <w:b/>
                <w:bCs/>
                <w:kern w:val="0"/>
                <w:sz w:val="24"/>
                <w:szCs w:val="22"/>
                <w:lang w:eastAsia="zh-CN"/>
              </w:rPr>
              <w:t>职业学校学生</w:t>
            </w:r>
            <w:r>
              <w:rPr>
                <w:rFonts w:hint="eastAsia" w:ascii="宋体" w:hAnsi="宋体"/>
                <w:b/>
                <w:bCs/>
                <w:kern w:val="0"/>
                <w:sz w:val="24"/>
                <w:szCs w:val="22"/>
                <w:lang w:val="en-US" w:eastAsia="zh-CN"/>
              </w:rPr>
              <w:t>核心素养</w:t>
            </w:r>
            <w:r>
              <w:rPr>
                <w:rFonts w:hint="eastAsia" w:ascii="宋体" w:hAnsi="宋体"/>
                <w:b/>
                <w:bCs/>
                <w:kern w:val="0"/>
                <w:sz w:val="24"/>
                <w:szCs w:val="22"/>
              </w:rPr>
              <w:t>测评子系统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hint="eastAsia" w:ascii="Calibri" w:hAnsi="Calibri"/>
                <w:bCs/>
                <w:kern w:val="0"/>
                <w:sz w:val="24"/>
                <w:szCs w:val="24"/>
              </w:rPr>
            </w:pPr>
            <w:r>
              <w:rPr>
                <w:rFonts w:hint="eastAsia" w:ascii="Calibri" w:hAnsi="Calibri"/>
                <w:bCs/>
                <w:kern w:val="0"/>
                <w:sz w:val="24"/>
                <w:szCs w:val="24"/>
              </w:rPr>
              <w:t>包含学习策略潜能、学习方法潜能、科学实验潜能测评维度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ascii="Calibri" w:hAnsi="Calibri"/>
                <w:bCs/>
                <w:kern w:val="0"/>
                <w:sz w:val="24"/>
                <w:szCs w:val="24"/>
              </w:rPr>
              <w:t>综合素质评定</w:t>
            </w:r>
            <w:r>
              <w:rPr>
                <w:rFonts w:hint="eastAsia" w:ascii="Calibri" w:hAnsi="Calibri"/>
                <w:bCs/>
                <w:kern w:val="0"/>
                <w:sz w:val="24"/>
                <w:szCs w:val="24"/>
              </w:rPr>
              <w:t>管理系统结合目前多所</w:t>
            </w:r>
            <w:r>
              <w:rPr>
                <w:rFonts w:hint="eastAsia" w:ascii="Calibri" w:hAnsi="Calibri"/>
                <w:bCs/>
                <w:kern w:val="0"/>
                <w:sz w:val="24"/>
                <w:szCs w:val="24"/>
                <w:lang w:val="en-US" w:eastAsia="zh-CN"/>
              </w:rPr>
              <w:t>职业学校</w:t>
            </w:r>
            <w:r>
              <w:rPr>
                <w:rFonts w:hint="eastAsia" w:ascii="Calibri" w:hAnsi="Calibri"/>
                <w:bCs/>
                <w:kern w:val="0"/>
                <w:sz w:val="24"/>
                <w:szCs w:val="24"/>
              </w:rPr>
              <w:t>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lang w:val="en-US" w:eastAsia="zh-CN"/>
              </w:rPr>
              <w:t>学校</w:t>
            </w:r>
            <w:r>
              <w:rPr>
                <w:rFonts w:hint="eastAsia" w:ascii="Calibri" w:hAnsi="Calibri"/>
                <w:bCs/>
                <w:kern w:val="0"/>
                <w:sz w:val="24"/>
                <w:szCs w:val="24"/>
              </w:rPr>
              <w:t>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职业学校学生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1" w:name="_Toc16627"/>
            <w:r>
              <w:rPr>
                <w:rFonts w:hint="eastAsia" w:ascii="Calibri" w:hAnsi="Calibri"/>
                <w:bCs/>
                <w:kern w:val="0"/>
                <w:sz w:val="24"/>
                <w:szCs w:val="24"/>
              </w:rPr>
              <w:t>1、一级指标管理</w:t>
            </w:r>
            <w:bookmarkEnd w:id="1"/>
          </w:p>
          <w:p>
            <w:pPr>
              <w:widowControl/>
              <w:ind w:firstLine="444" w:firstLineChars="200"/>
              <w:jc w:val="left"/>
              <w:rPr>
                <w:rFonts w:ascii="Calibri" w:hAnsi="Calibri"/>
                <w:bCs/>
                <w:kern w:val="0"/>
                <w:sz w:val="24"/>
                <w:szCs w:val="24"/>
              </w:rPr>
            </w:pPr>
            <w:bookmarkStart w:id="2" w:name="_Toc24900"/>
            <w:r>
              <w:rPr>
                <w:rFonts w:hint="eastAsia" w:ascii="Calibri" w:hAnsi="Calibri"/>
                <w:bCs/>
                <w:kern w:val="0"/>
                <w:sz w:val="24"/>
                <w:szCs w:val="24"/>
              </w:rPr>
              <w:t>2、一级指标评语</w:t>
            </w:r>
            <w:bookmarkEnd w:id="2"/>
          </w:p>
          <w:p>
            <w:pPr>
              <w:widowControl/>
              <w:ind w:firstLine="444" w:firstLineChars="200"/>
              <w:jc w:val="left"/>
              <w:rPr>
                <w:rFonts w:ascii="Calibri" w:hAnsi="Calibri"/>
                <w:bCs/>
                <w:kern w:val="0"/>
                <w:sz w:val="24"/>
                <w:szCs w:val="24"/>
              </w:rPr>
            </w:pPr>
            <w:bookmarkStart w:id="3" w:name="_Toc4325"/>
            <w:r>
              <w:rPr>
                <w:rFonts w:hint="eastAsia" w:ascii="Calibri" w:hAnsi="Calibri"/>
                <w:bCs/>
                <w:kern w:val="0"/>
                <w:sz w:val="24"/>
                <w:szCs w:val="24"/>
              </w:rPr>
              <w:t>3、二级指标管理</w:t>
            </w:r>
            <w:bookmarkEnd w:id="3"/>
          </w:p>
          <w:p>
            <w:pPr>
              <w:widowControl/>
              <w:ind w:firstLine="444" w:firstLineChars="200"/>
              <w:jc w:val="left"/>
              <w:rPr>
                <w:rFonts w:ascii="Calibri" w:hAnsi="Calibri"/>
                <w:bCs/>
                <w:kern w:val="0"/>
                <w:sz w:val="24"/>
                <w:szCs w:val="24"/>
              </w:rPr>
            </w:pPr>
            <w:bookmarkStart w:id="4" w:name="_Toc12921"/>
            <w:r>
              <w:rPr>
                <w:rFonts w:hint="eastAsia" w:ascii="Calibri" w:hAnsi="Calibri"/>
                <w:bCs/>
                <w:kern w:val="0"/>
                <w:sz w:val="24"/>
                <w:szCs w:val="24"/>
              </w:rPr>
              <w:t>4、评定内容管理</w:t>
            </w:r>
            <w:bookmarkEnd w:id="4"/>
          </w:p>
          <w:p>
            <w:pPr>
              <w:widowControl/>
              <w:ind w:firstLine="444" w:firstLineChars="200"/>
              <w:jc w:val="left"/>
              <w:rPr>
                <w:rFonts w:ascii="Calibri" w:hAnsi="Calibri"/>
                <w:bCs/>
                <w:kern w:val="0"/>
                <w:sz w:val="24"/>
                <w:szCs w:val="24"/>
              </w:rPr>
            </w:pPr>
            <w:bookmarkStart w:id="5" w:name="_Toc21958"/>
            <w:r>
              <w:rPr>
                <w:rFonts w:hint="eastAsia" w:ascii="Calibri" w:hAnsi="Calibri"/>
                <w:bCs/>
                <w:kern w:val="0"/>
                <w:sz w:val="24"/>
                <w:szCs w:val="24"/>
              </w:rPr>
              <w:t>5、评定模板管理</w:t>
            </w:r>
            <w:bookmarkEnd w:id="5"/>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6" w:name="_Toc26561"/>
            <w:r>
              <w:rPr>
                <w:rFonts w:hint="eastAsia" w:ascii="Calibri" w:hAnsi="Calibri"/>
                <w:bCs/>
                <w:kern w:val="0"/>
                <w:sz w:val="24"/>
                <w:szCs w:val="24"/>
              </w:rPr>
              <w:t>1、评定活动管理</w:t>
            </w:r>
            <w:bookmarkEnd w:id="6"/>
          </w:p>
          <w:p>
            <w:pPr>
              <w:widowControl/>
              <w:ind w:firstLine="444" w:firstLineChars="200"/>
              <w:jc w:val="left"/>
              <w:rPr>
                <w:rFonts w:ascii="Calibri" w:hAnsi="Calibri"/>
                <w:bCs/>
                <w:kern w:val="0"/>
                <w:sz w:val="24"/>
                <w:szCs w:val="24"/>
              </w:rPr>
            </w:pPr>
            <w:bookmarkStart w:id="7" w:name="_Toc15091"/>
            <w:r>
              <w:rPr>
                <w:rFonts w:hint="eastAsia" w:ascii="Calibri" w:hAnsi="Calibri"/>
                <w:bCs/>
                <w:kern w:val="0"/>
                <w:sz w:val="24"/>
                <w:szCs w:val="24"/>
              </w:rPr>
              <w:t>2、评定成绩审定</w:t>
            </w:r>
            <w:bookmarkEnd w:id="7"/>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8" w:name="_Toc16559"/>
            <w:r>
              <w:rPr>
                <w:rFonts w:hint="eastAsia" w:ascii="Calibri" w:hAnsi="Calibri"/>
                <w:bCs/>
                <w:kern w:val="0"/>
                <w:sz w:val="24"/>
                <w:szCs w:val="24"/>
              </w:rPr>
              <w:t>1、评定成绩统计</w:t>
            </w:r>
            <w:bookmarkEnd w:id="8"/>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职业学校学生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9" w:name="_Toc11986"/>
            <w:r>
              <w:rPr>
                <w:rFonts w:hint="eastAsia" w:ascii="Calibri" w:hAnsi="Calibri"/>
                <w:bCs/>
                <w:kern w:val="0"/>
                <w:sz w:val="24"/>
                <w:szCs w:val="24"/>
              </w:rPr>
              <w:t>1、综合权重设置</w:t>
            </w:r>
            <w:bookmarkEnd w:id="9"/>
          </w:p>
          <w:p>
            <w:pPr>
              <w:widowControl/>
              <w:ind w:firstLine="444" w:firstLineChars="200"/>
              <w:jc w:val="left"/>
              <w:rPr>
                <w:rFonts w:ascii="Calibri" w:hAnsi="Calibri"/>
                <w:bCs/>
                <w:kern w:val="0"/>
                <w:sz w:val="24"/>
                <w:szCs w:val="24"/>
              </w:rPr>
            </w:pPr>
            <w:bookmarkStart w:id="10" w:name="_Toc18850"/>
            <w:r>
              <w:rPr>
                <w:rFonts w:hint="eastAsia" w:ascii="Calibri" w:hAnsi="Calibri"/>
                <w:bCs/>
                <w:kern w:val="0"/>
                <w:sz w:val="24"/>
                <w:szCs w:val="24"/>
              </w:rPr>
              <w:t>2、综合成绩生成</w:t>
            </w:r>
            <w:bookmarkEnd w:id="10"/>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五、</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六、</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七、</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危机</w:t>
            </w:r>
          </w:p>
          <w:p>
            <w:pPr>
              <w:widowControl/>
              <w:jc w:val="center"/>
              <w:rPr>
                <w:rFonts w:ascii="宋体" w:hAnsi="宋体"/>
                <w:b/>
                <w:color w:val="FF0000"/>
                <w:kern w:val="0"/>
                <w:sz w:val="24"/>
                <w:szCs w:val="24"/>
              </w:rPr>
            </w:pPr>
            <w:r>
              <w:rPr>
                <w:rFonts w:hint="eastAsia" w:ascii="宋体" w:hAnsi="宋体"/>
                <w:b/>
                <w:color w:val="FF0000"/>
                <w:kern w:val="0"/>
                <w:sz w:val="24"/>
                <w:szCs w:val="24"/>
              </w:rPr>
              <w:t>干预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心理健康预警与评估</w:t>
            </w:r>
          </w:p>
          <w:p>
            <w:pPr>
              <w:widowControl/>
              <w:ind w:firstLine="444" w:firstLineChars="200"/>
              <w:jc w:val="left"/>
              <w:rPr>
                <w:rFonts w:ascii="Calibri" w:hAnsi="Calibri"/>
                <w:bCs/>
                <w:kern w:val="0"/>
                <w:sz w:val="24"/>
                <w:szCs w:val="24"/>
              </w:rPr>
            </w:pPr>
            <w:bookmarkStart w:id="11" w:name="_Toc24067"/>
            <w:r>
              <w:rPr>
                <w:rFonts w:hint="eastAsia" w:ascii="Calibri" w:hAnsi="Calibri"/>
                <w:bCs/>
                <w:kern w:val="0"/>
                <w:sz w:val="24"/>
                <w:szCs w:val="24"/>
              </w:rPr>
              <w:t>1、预警等级设置</w:t>
            </w:r>
            <w:bookmarkEnd w:id="11"/>
          </w:p>
          <w:p>
            <w:pPr>
              <w:widowControl/>
              <w:ind w:firstLine="444" w:firstLineChars="200"/>
              <w:jc w:val="left"/>
              <w:rPr>
                <w:rFonts w:ascii="Calibri" w:hAnsi="Calibri"/>
                <w:bCs/>
                <w:kern w:val="0"/>
                <w:sz w:val="24"/>
                <w:szCs w:val="24"/>
              </w:rPr>
            </w:pPr>
            <w:bookmarkStart w:id="12" w:name="_Toc1580"/>
            <w:r>
              <w:rPr>
                <w:rFonts w:hint="eastAsia" w:ascii="Calibri" w:hAnsi="Calibri"/>
                <w:bCs/>
                <w:kern w:val="0"/>
                <w:sz w:val="24"/>
                <w:szCs w:val="24"/>
              </w:rPr>
              <w:t>2、预警管理</w:t>
            </w:r>
            <w:bookmarkEnd w:id="12"/>
          </w:p>
          <w:p>
            <w:pPr>
              <w:widowControl/>
              <w:ind w:firstLine="444" w:firstLineChars="200"/>
              <w:jc w:val="left"/>
              <w:rPr>
                <w:rFonts w:ascii="Calibri" w:hAnsi="Calibri"/>
                <w:bCs/>
                <w:kern w:val="0"/>
                <w:sz w:val="24"/>
                <w:szCs w:val="24"/>
              </w:rPr>
            </w:pPr>
            <w:bookmarkStart w:id="13" w:name="_Toc6886"/>
            <w:r>
              <w:rPr>
                <w:rFonts w:hint="eastAsia" w:ascii="Calibri" w:hAnsi="Calibri"/>
                <w:bCs/>
                <w:kern w:val="0"/>
                <w:sz w:val="24"/>
                <w:szCs w:val="24"/>
              </w:rPr>
              <w:t>3、评估管理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心理健康咨询</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widowControl/>
              <w:jc w:val="left"/>
              <w:rPr>
                <w:rFonts w:ascii="宋体" w:hAnsi="宋体" w:eastAsia="宋体"/>
                <w:b/>
                <w:bCs/>
                <w:kern w:val="0"/>
                <w:sz w:val="24"/>
                <w:szCs w:val="24"/>
              </w:rPr>
            </w:pPr>
            <w:r>
              <w:rPr>
                <w:rFonts w:hint="eastAsia" w:ascii="宋体" w:hAnsi="宋体" w:eastAsia="宋体"/>
                <w:b/>
                <w:bCs/>
                <w:kern w:val="0"/>
                <w:sz w:val="24"/>
                <w:szCs w:val="24"/>
              </w:rPr>
              <w:t>（六）</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心理危机干预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1、心理咨询师管理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2、咨询类型管理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3、学生咨询管理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4、心理咨询问题统计</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5、心理亚健康统计</w:t>
            </w:r>
          </w:p>
          <w:p>
            <w:pPr>
              <w:widowControl/>
              <w:ind w:firstLine="444" w:firstLineChars="200"/>
              <w:jc w:val="left"/>
              <w:rPr>
                <w:rFonts w:ascii="Calibri" w:hAnsi="Calibri"/>
                <w:b/>
                <w:bCs/>
                <w:kern w:val="0"/>
                <w:szCs w:val="22"/>
              </w:rPr>
            </w:pPr>
            <w:r>
              <w:rPr>
                <w:rFonts w:hint="eastAsia" w:ascii="Calibri" w:hAnsi="Calibri"/>
                <w:bCs/>
                <w:kern w:val="0"/>
                <w:sz w:val="24"/>
                <w:szCs w:val="24"/>
              </w:rPr>
              <w:t>6、心理亚健康分析</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 职业学校学生就业能力测评云平台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184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cs="宋体"/>
                <w:b/>
                <w:color w:val="FF0000"/>
                <w:kern w:val="0"/>
                <w:sz w:val="24"/>
                <w:szCs w:val="22"/>
              </w:rPr>
            </w:pPr>
            <w:r>
              <w:rPr>
                <w:rFonts w:ascii="宋体" w:hAnsi="宋体" w:cs="宋体"/>
                <w:b/>
                <w:color w:val="FF0000"/>
                <w:kern w:val="0"/>
                <w:sz w:val="24"/>
                <w:szCs w:val="22"/>
              </w:rPr>
              <w:t>一、</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职业生涯发展规划测评系统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二、</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就业能力测评系统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三、</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行业岗位就业能力测评平台</w:t>
            </w:r>
          </w:p>
          <w:p>
            <w:pPr>
              <w:widowControl/>
              <w:ind w:firstLine="444" w:firstLineChars="200"/>
              <w:jc w:val="left"/>
              <w:rPr>
                <w:rFonts w:ascii="宋体" w:hAnsi="宋体" w:eastAsia="宋体" w:cs="宋体"/>
                <w:kern w:val="0"/>
                <w:szCs w:val="22"/>
              </w:rPr>
            </w:pPr>
            <w:r>
              <w:rPr>
                <w:rFonts w:hint="eastAsia" w:ascii="宋体" w:hAnsi="宋体" w:cs="宋体"/>
                <w:b/>
                <w:color w:val="FF0000"/>
                <w:kern w:val="0"/>
                <w:sz w:val="24"/>
                <w:szCs w:val="22"/>
              </w:rPr>
              <w:t>四、</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行业岗位就业能力实训平台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职业价值观测评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银行单证部主任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财产保险部主任   </w:t>
            </w:r>
            <w:r>
              <w:rPr>
                <w:rFonts w:ascii="Calibri" w:hAnsi="Calibri"/>
                <w:bCs/>
                <w:kern w:val="0"/>
                <w:sz w:val="24"/>
                <w:szCs w:val="24"/>
              </w:rPr>
              <w:t xml:space="preserve"> </w:t>
            </w:r>
            <w:r>
              <w:rPr>
                <w:rFonts w:hint="eastAsia" w:ascii="Calibri" w:hAnsi="Calibri"/>
                <w:bCs/>
                <w:kern w:val="0"/>
                <w:sz w:val="24"/>
                <w:szCs w:val="24"/>
              </w:rPr>
              <w:t>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文案设计师       文案设计专员      美术总监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bCs/>
                <w:kern w:val="0"/>
                <w:sz w:val="24"/>
                <w:szCs w:val="24"/>
                <w:lang w:val="en-US"/>
              </w:rPr>
            </w:pPr>
            <w:r>
              <w:rPr>
                <w:rFonts w:hint="eastAsia" w:ascii="宋体" w:hAnsi="宋体" w:eastAsia="宋体" w:cs="宋体"/>
                <w:b/>
                <w:bCs/>
                <w:color w:val="auto"/>
                <w:kern w:val="0"/>
                <w:sz w:val="28"/>
                <w:szCs w:val="28"/>
                <w:lang w:val="en-US" w:eastAsia="zh-CN"/>
              </w:rPr>
              <w:t>第三部分 测评管理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val="en-US" w:eastAsia="zh-CN"/>
              </w:rPr>
              <w:t>学校</w:t>
            </w:r>
            <w:r>
              <w:rPr>
                <w:rFonts w:hint="eastAsia" w:ascii="Calibri" w:hAnsi="Calibri"/>
                <w:bCs/>
                <w:kern w:val="0"/>
                <w:sz w:val="24"/>
                <w:szCs w:val="24"/>
              </w:rPr>
              <w:t>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bl>
    <w:p>
      <w:pPr>
        <w:pStyle w:val="7"/>
        <w:rPr>
          <w:rFonts w:hAnsi="宋体"/>
          <w:sz w:val="24"/>
        </w:rPr>
      </w:pPr>
      <w:bookmarkStart w:id="14" w:name="_GoBack"/>
      <w:bookmarkEnd w:id="14"/>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2521AD8"/>
    <w:rsid w:val="0E0B4730"/>
    <w:rsid w:val="115B7A6B"/>
    <w:rsid w:val="133D15C1"/>
    <w:rsid w:val="1F050A09"/>
    <w:rsid w:val="48DC2F65"/>
    <w:rsid w:val="4A602D01"/>
    <w:rsid w:val="67EB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1</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2022-01-23T09:28:09Z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